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INVOICE</w:t>
      </w:r>
    </w:p>
    <w:p>
      <w:r>
        <w:rPr>
          <w:color w:val="555555"/>
        </w:rPr>
        <w:t xml:space="preserve">Locksmith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finished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Payment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11/11/2026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Bill to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J. Byrne, Flat 2, 18 Park Avenue, Cardiff CF10 3AS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Call-out (daytime)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Non-destructive entry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5-lever mortice deadlock to BS3621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Anti-snap euro cylinder, TS007 3-star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£55.00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£55.00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Fit locks and test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£285.00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at 20%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£57.00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due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£342.00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How to pay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Sort code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Reference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Card payment link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rPr>
          <w:b/>
          <w:color w:val="B3141C"/>
        </w:rPr>
        <w:t xml:space="preserve">Terms</w:t>
      </w:r>
    </w:p>
    <w:p>
      <w:r>
        <w:t xml:space="preserve">• The price is agreed before work starts; call-outs after 6pm and at weekends are charged at the out-of-hours rate.</w:t>
      </w:r>
    </w:p>
    <w:p>
      <w:r>
        <w:t xml:space="preserve">• Non-destructive entry is tried first; drilling is only done with the customer's agreement.</w:t>
      </w:r>
    </w:p>
    <w:p>
      <w:r>
        <w:t xml:space="preserve">• Locks are guaranteed for 12 months against faulty parts.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